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904C" w14:textId="77777777" w:rsidR="003B64EA" w:rsidRDefault="0044634E" w:rsidP="00E633F2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color w:val="FF0000"/>
          <w:sz w:val="60"/>
          <w:szCs w:val="60"/>
        </w:rPr>
      </w:pPr>
      <w:r>
        <w:rPr>
          <w:rFonts w:asciiTheme="majorHAnsi" w:eastAsiaTheme="majorEastAsia" w:hAnsiTheme="majorHAnsi" w:cstheme="majorBidi"/>
          <w:b/>
          <w:bCs/>
          <w:color w:val="FF0000"/>
          <w:sz w:val="60"/>
          <w:szCs w:val="60"/>
        </w:rPr>
        <w:t xml:space="preserve"> </w:t>
      </w:r>
    </w:p>
    <w:p w14:paraId="4C336485" w14:textId="631689B8" w:rsidR="009B2667" w:rsidRDefault="008E3376" w:rsidP="00E633F2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NÁBYTKOVÁ BANKA</w:t>
      </w:r>
      <w:r w:rsidR="007F08DB">
        <w:rPr>
          <w:rFonts w:ascii="Arial" w:hAnsi="Arial" w:cs="Arial"/>
          <w:b/>
          <w:bCs/>
          <w:sz w:val="32"/>
          <w:szCs w:val="32"/>
          <w:u w:val="single"/>
        </w:rPr>
        <w:t xml:space="preserve"> PLZEŇSKÉHO KRAJE </w:t>
      </w:r>
    </w:p>
    <w:p w14:paraId="3936CC73" w14:textId="77777777" w:rsidR="003B64EA" w:rsidRPr="00E633F2" w:rsidRDefault="003B64EA" w:rsidP="00E633F2">
      <w:pPr>
        <w:spacing w:line="240" w:lineRule="auto"/>
        <w:jc w:val="center"/>
      </w:pPr>
    </w:p>
    <w:p w14:paraId="451FF1BE" w14:textId="2524A45D" w:rsidR="00714354" w:rsidRPr="00896A0A" w:rsidRDefault="00736E1D" w:rsidP="00100204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Plzeňském kraji vznikla Nábytková banka Plzeňského kraje, </w:t>
      </w:r>
      <w:proofErr w:type="spellStart"/>
      <w:r>
        <w:rPr>
          <w:rFonts w:ascii="Arial" w:hAnsi="Arial" w:cs="Arial"/>
          <w:sz w:val="28"/>
          <w:szCs w:val="28"/>
        </w:rPr>
        <w:t>z.s</w:t>
      </w:r>
      <w:proofErr w:type="spellEnd"/>
      <w:r>
        <w:rPr>
          <w:rFonts w:ascii="Arial" w:hAnsi="Arial" w:cs="Arial"/>
          <w:sz w:val="28"/>
          <w:szCs w:val="28"/>
        </w:rPr>
        <w:t>., která může být pro občany města</w:t>
      </w:r>
      <w:r w:rsidR="003374D3">
        <w:rPr>
          <w:rFonts w:ascii="Arial" w:hAnsi="Arial" w:cs="Arial"/>
          <w:sz w:val="28"/>
          <w:szCs w:val="28"/>
        </w:rPr>
        <w:t xml:space="preserve"> a obcí</w:t>
      </w:r>
      <w:r>
        <w:rPr>
          <w:rFonts w:ascii="Arial" w:hAnsi="Arial" w:cs="Arial"/>
          <w:sz w:val="28"/>
          <w:szCs w:val="28"/>
        </w:rPr>
        <w:t xml:space="preserve"> prospěšná </w:t>
      </w:r>
      <w:r w:rsidR="00896A0A" w:rsidRPr="00896A0A">
        <w:rPr>
          <w:rFonts w:ascii="Arial" w:hAnsi="Arial" w:cs="Arial"/>
          <w:sz w:val="28"/>
          <w:szCs w:val="28"/>
        </w:rPr>
        <w:t xml:space="preserve">dvěma způsoby, tj. můžete se stát dárci </w:t>
      </w:r>
      <w:r>
        <w:rPr>
          <w:rFonts w:ascii="Arial" w:hAnsi="Arial" w:cs="Arial"/>
          <w:sz w:val="28"/>
          <w:szCs w:val="28"/>
        </w:rPr>
        <w:t xml:space="preserve">nábytku a ostatního vybavení </w:t>
      </w:r>
      <w:r w:rsidR="00896A0A" w:rsidRPr="00896A0A">
        <w:rPr>
          <w:rFonts w:ascii="Arial" w:hAnsi="Arial" w:cs="Arial"/>
          <w:sz w:val="28"/>
          <w:szCs w:val="28"/>
        </w:rPr>
        <w:t>nebo můžete požádat o podporu, jste-li osobou v nouzi.</w:t>
      </w:r>
    </w:p>
    <w:p w14:paraId="71345D74" w14:textId="77777777" w:rsidR="00E633F2" w:rsidRDefault="00896A0A" w:rsidP="00E633F2">
      <w:pPr>
        <w:spacing w:after="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96A0A">
        <w:rPr>
          <w:rFonts w:ascii="Arial" w:hAnsi="Arial" w:cs="Arial"/>
          <w:b/>
          <w:bCs/>
          <w:sz w:val="28"/>
          <w:szCs w:val="28"/>
        </w:rPr>
        <w:t>Informace pro dárce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1691BE" w14:textId="586AAECD" w:rsidR="00896A0A" w:rsidRPr="00E633F2" w:rsidRDefault="00736E1D" w:rsidP="00E633F2">
      <w:pPr>
        <w:spacing w:after="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Máte-li doma nábytek a vybavení, které byste rádi někomu věnovali a pokud je funkční a hygienicky nezávadný, můžete se obrátit na </w:t>
      </w:r>
      <w:r w:rsidR="00896A0A">
        <w:rPr>
          <w:rFonts w:ascii="Arial" w:hAnsi="Arial" w:cs="Arial"/>
          <w:sz w:val="28"/>
          <w:szCs w:val="28"/>
        </w:rPr>
        <w:t>koordinátor</w:t>
      </w:r>
      <w:r w:rsidR="006516AA">
        <w:rPr>
          <w:rFonts w:ascii="Arial" w:hAnsi="Arial" w:cs="Arial"/>
          <w:sz w:val="28"/>
          <w:szCs w:val="28"/>
        </w:rPr>
        <w:t xml:space="preserve">ku </w:t>
      </w:r>
      <w:r>
        <w:rPr>
          <w:rFonts w:ascii="Arial" w:hAnsi="Arial" w:cs="Arial"/>
          <w:sz w:val="28"/>
          <w:szCs w:val="28"/>
        </w:rPr>
        <w:t>n</w:t>
      </w:r>
      <w:r w:rsidR="006516AA">
        <w:rPr>
          <w:rFonts w:ascii="Arial" w:hAnsi="Arial" w:cs="Arial"/>
          <w:sz w:val="28"/>
          <w:szCs w:val="28"/>
        </w:rPr>
        <w:t>ábytkové banky</w:t>
      </w:r>
      <w:r w:rsidR="004B644B">
        <w:rPr>
          <w:rFonts w:ascii="Arial" w:hAnsi="Arial" w:cs="Arial"/>
          <w:sz w:val="28"/>
          <w:szCs w:val="28"/>
        </w:rPr>
        <w:t xml:space="preserve"> na</w:t>
      </w:r>
      <w:r w:rsidR="00896A0A">
        <w:rPr>
          <w:rFonts w:ascii="Arial" w:hAnsi="Arial" w:cs="Arial"/>
          <w:sz w:val="28"/>
          <w:szCs w:val="28"/>
        </w:rPr>
        <w:t xml:space="preserve"> tel. </w:t>
      </w:r>
      <w:r w:rsidR="00D60E3B">
        <w:rPr>
          <w:rFonts w:ascii="Arial" w:hAnsi="Arial" w:cs="Arial"/>
          <w:sz w:val="28"/>
          <w:szCs w:val="28"/>
        </w:rPr>
        <w:t>602 139 868</w:t>
      </w:r>
      <w:r w:rsidR="00896A0A">
        <w:rPr>
          <w:rFonts w:ascii="Arial" w:hAnsi="Arial" w:cs="Arial"/>
          <w:sz w:val="28"/>
          <w:szCs w:val="28"/>
        </w:rPr>
        <w:t>, v pracovní dny</w:t>
      </w:r>
      <w:r w:rsidR="0052276E">
        <w:rPr>
          <w:rFonts w:ascii="Arial" w:hAnsi="Arial" w:cs="Arial"/>
          <w:sz w:val="28"/>
          <w:szCs w:val="28"/>
        </w:rPr>
        <w:t xml:space="preserve"> (pondělí – čtvrtek)</w:t>
      </w:r>
      <w:r w:rsidR="00896A0A">
        <w:rPr>
          <w:rFonts w:ascii="Arial" w:hAnsi="Arial" w:cs="Arial"/>
          <w:sz w:val="28"/>
          <w:szCs w:val="28"/>
        </w:rPr>
        <w:t xml:space="preserve"> v čase 8-16 hodin, nebo napište na e-mail </w:t>
      </w:r>
      <w:r>
        <w:rPr>
          <w:rFonts w:ascii="Arial" w:hAnsi="Arial" w:cs="Arial"/>
          <w:sz w:val="28"/>
          <w:szCs w:val="28"/>
        </w:rPr>
        <w:t>n</w:t>
      </w:r>
      <w:r w:rsidR="00896A0A">
        <w:rPr>
          <w:rFonts w:ascii="Arial" w:hAnsi="Arial" w:cs="Arial"/>
          <w:sz w:val="28"/>
          <w:szCs w:val="28"/>
        </w:rPr>
        <w:t xml:space="preserve">ábytkové banky </w:t>
      </w:r>
      <w:hyperlink r:id="rId6" w:history="1">
        <w:r w:rsidR="00896A0A" w:rsidRPr="006D3596">
          <w:rPr>
            <w:rStyle w:val="Hypertextovodkaz"/>
            <w:rFonts w:ascii="Arial" w:hAnsi="Arial" w:cs="Arial"/>
            <w:sz w:val="28"/>
            <w:szCs w:val="28"/>
          </w:rPr>
          <w:t>info@nbpk.cz</w:t>
        </w:r>
      </w:hyperlink>
      <w:r w:rsidR="00896A0A">
        <w:rPr>
          <w:rFonts w:ascii="Arial" w:hAnsi="Arial" w:cs="Arial"/>
          <w:sz w:val="28"/>
          <w:szCs w:val="28"/>
        </w:rPr>
        <w:t>.</w:t>
      </w:r>
    </w:p>
    <w:p w14:paraId="34291DB0" w14:textId="45E3F1EB" w:rsidR="00896A0A" w:rsidRDefault="00896A0A" w:rsidP="00E633F2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Nábytek mohou pracovníci </w:t>
      </w:r>
      <w:r w:rsidR="00736E1D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ábytkové banky vyzvednout ve </w:t>
      </w:r>
      <w:r w:rsidR="0052276E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aší </w:t>
      </w:r>
      <w:r w:rsidR="00736E1D">
        <w:rPr>
          <w:rFonts w:ascii="Arial" w:hAnsi="Arial" w:cs="Arial"/>
          <w:sz w:val="28"/>
          <w:szCs w:val="28"/>
        </w:rPr>
        <w:t xml:space="preserve">domácnosti </w:t>
      </w:r>
      <w:r>
        <w:rPr>
          <w:rFonts w:ascii="Arial" w:hAnsi="Arial" w:cs="Arial"/>
          <w:sz w:val="28"/>
          <w:szCs w:val="28"/>
        </w:rPr>
        <w:t>nebo ho můžete předat ve skladě – Jiráskova 214, Rokycany (bývalý IRA bazar)</w:t>
      </w:r>
      <w:r w:rsidR="00736E1D">
        <w:rPr>
          <w:rFonts w:ascii="Arial" w:hAnsi="Arial" w:cs="Arial"/>
          <w:sz w:val="28"/>
          <w:szCs w:val="28"/>
        </w:rPr>
        <w:t xml:space="preserve"> po předchozí domluvě</w:t>
      </w:r>
      <w:r w:rsidR="000F5038">
        <w:rPr>
          <w:rFonts w:ascii="Arial" w:hAnsi="Arial" w:cs="Arial"/>
          <w:sz w:val="28"/>
          <w:szCs w:val="28"/>
        </w:rPr>
        <w:t>.</w:t>
      </w:r>
      <w:r w:rsidR="00736E1D">
        <w:rPr>
          <w:rFonts w:ascii="Arial" w:hAnsi="Arial" w:cs="Arial"/>
          <w:sz w:val="28"/>
          <w:szCs w:val="28"/>
        </w:rPr>
        <w:t xml:space="preserve"> Koordinátorka s Vámi domluví podmínky a termín předání. Nábytková banka Vám může pomoci také s vyklízením nemovitosti (pozůstalosti, atd.)</w:t>
      </w:r>
    </w:p>
    <w:p w14:paraId="5E35745A" w14:textId="77777777" w:rsidR="0052276E" w:rsidRDefault="0052276E" w:rsidP="00E633F2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</w:p>
    <w:p w14:paraId="4795FC60" w14:textId="77777777" w:rsidR="00E633F2" w:rsidRDefault="00896A0A" w:rsidP="00E633F2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Kdo může být dárcem?</w:t>
      </w:r>
    </w:p>
    <w:p w14:paraId="4D393A5E" w14:textId="77777777" w:rsidR="00E633F2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8"/>
          <w:szCs w:val="28"/>
          <w:lang w:eastAsia="cs-CZ"/>
        </w:rPr>
        <w:t>kterýkoliv občan, který má nadbytečný nábytek či vybavení domácnosti </w:t>
      </w:r>
    </w:p>
    <w:p w14:paraId="4A85099A" w14:textId="65B0DDC8" w:rsidR="00896A0A" w:rsidRPr="0052276E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8"/>
          <w:szCs w:val="28"/>
          <w:lang w:eastAsia="cs-CZ"/>
        </w:rPr>
        <w:t>firma, která se zbavuje nepotřebného nábytku, popř. výrobci nábytku nebo obchodníci s nábytkem </w:t>
      </w:r>
    </w:p>
    <w:p w14:paraId="5AA1E272" w14:textId="77777777" w:rsidR="0052276E" w:rsidRPr="00E633F2" w:rsidRDefault="0052276E" w:rsidP="0052276E">
      <w:pPr>
        <w:pStyle w:val="Odstavecseseznamem"/>
        <w:spacing w:after="0" w:line="288" w:lineRule="auto"/>
        <w:ind w:left="714"/>
        <w:jc w:val="both"/>
        <w:rPr>
          <w:rFonts w:ascii="Arial" w:hAnsi="Arial" w:cs="Arial"/>
          <w:b/>
          <w:bCs/>
          <w:sz w:val="28"/>
          <w:szCs w:val="28"/>
        </w:rPr>
      </w:pPr>
    </w:p>
    <w:p w14:paraId="2366460C" w14:textId="77777777" w:rsidR="00E633F2" w:rsidRPr="00E633F2" w:rsidRDefault="00896A0A" w:rsidP="00E633F2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hAnsi="Arial" w:cs="Arial"/>
          <w:b/>
          <w:bCs/>
          <w:sz w:val="28"/>
          <w:szCs w:val="28"/>
        </w:rPr>
        <w:t>Co lze darovat?</w:t>
      </w:r>
    </w:p>
    <w:p w14:paraId="24D6ABD0" w14:textId="77777777" w:rsidR="00E633F2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nábytek – jednotlivé kusy i sestavy domácího nábytku, kancelářský i venkovní nábytek </w:t>
      </w:r>
      <w:r w:rsidR="008E3376"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(skříně, komody, postele, židle</w:t>
      </w:r>
      <w:r w:rsidR="000F1C0F"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, stoly, …)</w:t>
      </w:r>
    </w:p>
    <w:p w14:paraId="67B4CE99" w14:textId="77777777" w:rsidR="00E633F2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vybavení domácnosti – odpadkové koše, koše na prádlo, dózy atd. </w:t>
      </w:r>
    </w:p>
    <w:p w14:paraId="43FB2618" w14:textId="77777777" w:rsidR="00E633F2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nádobí – hrnce, talíře, příbory atd. </w:t>
      </w:r>
    </w:p>
    <w:p w14:paraId="790DF921" w14:textId="2475538C" w:rsidR="00896A0A" w:rsidRPr="000D3677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svítidla bytový textil – záclony, závěsy, povlečení, prostěradla, ručníky, utěrky dětské potřeby, židličky, postýlky, vaničky, lehátka, přebalovací pulty, hračky (pouze omyvatelné) elektrospotřebiče – pračky,</w:t>
      </w:r>
      <w:r w:rsidR="00B25866"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 xml:space="preserve"> ledničky, </w:t>
      </w:r>
      <w:r w:rsidR="000F5038"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mikrovlnky, žehličky atd.</w:t>
      </w:r>
    </w:p>
    <w:p w14:paraId="491D527B" w14:textId="0B2CF7F8" w:rsidR="000D3677" w:rsidRPr="000D3677" w:rsidRDefault="000D3677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color w:val="303030"/>
          <w:sz w:val="27"/>
          <w:szCs w:val="27"/>
          <w:lang w:eastAsia="cs-CZ"/>
        </w:rPr>
        <w:t>elektrospotřebiče - pračky, ledničky, mikrovlnky, žehličky</w:t>
      </w:r>
    </w:p>
    <w:p w14:paraId="44047A42" w14:textId="77777777" w:rsidR="000D3677" w:rsidRPr="00E633F2" w:rsidRDefault="000D3677" w:rsidP="000D3677">
      <w:pPr>
        <w:pStyle w:val="Odstavecseseznamem"/>
        <w:spacing w:after="0" w:line="288" w:lineRule="auto"/>
        <w:ind w:left="714"/>
        <w:jc w:val="both"/>
        <w:rPr>
          <w:rFonts w:ascii="Arial" w:hAnsi="Arial" w:cs="Arial"/>
          <w:b/>
          <w:bCs/>
          <w:sz w:val="28"/>
          <w:szCs w:val="28"/>
        </w:rPr>
      </w:pPr>
    </w:p>
    <w:p w14:paraId="2CE68A13" w14:textId="5C2272AC" w:rsidR="00896A0A" w:rsidRDefault="00896A0A" w:rsidP="00E633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7"/>
          <w:szCs w:val="27"/>
          <w:lang w:eastAsia="cs-CZ"/>
        </w:rPr>
      </w:pPr>
      <w:r w:rsidRPr="007E6B9D">
        <w:rPr>
          <w:rFonts w:ascii="Arial" w:eastAsia="Times New Roman" w:hAnsi="Arial" w:cs="Arial"/>
          <w:b/>
          <w:bCs/>
          <w:color w:val="303030"/>
          <w:sz w:val="27"/>
          <w:szCs w:val="27"/>
          <w:lang w:eastAsia="cs-CZ"/>
        </w:rPr>
        <w:t xml:space="preserve">Darované věci musí být </w:t>
      </w:r>
      <w:r w:rsidR="00714354" w:rsidRPr="007E6B9D">
        <w:rPr>
          <w:rFonts w:ascii="Arial" w:eastAsia="Times New Roman" w:hAnsi="Arial" w:cs="Arial"/>
          <w:b/>
          <w:bCs/>
          <w:color w:val="303030"/>
          <w:sz w:val="27"/>
          <w:szCs w:val="27"/>
          <w:lang w:eastAsia="cs-CZ"/>
        </w:rPr>
        <w:t xml:space="preserve">plně </w:t>
      </w:r>
      <w:r w:rsidRPr="007E6B9D">
        <w:rPr>
          <w:rFonts w:ascii="Arial" w:eastAsia="Times New Roman" w:hAnsi="Arial" w:cs="Arial"/>
          <w:b/>
          <w:bCs/>
          <w:color w:val="303030"/>
          <w:sz w:val="27"/>
          <w:szCs w:val="27"/>
          <w:lang w:eastAsia="cs-CZ"/>
        </w:rPr>
        <w:t>funkční</w:t>
      </w:r>
      <w:r w:rsidR="00714354" w:rsidRPr="007E6B9D">
        <w:rPr>
          <w:rFonts w:ascii="Arial" w:eastAsia="Times New Roman" w:hAnsi="Arial" w:cs="Arial"/>
          <w:b/>
          <w:bCs/>
          <w:color w:val="303030"/>
          <w:sz w:val="27"/>
          <w:szCs w:val="27"/>
          <w:lang w:eastAsia="cs-CZ"/>
        </w:rPr>
        <w:t xml:space="preserve">, čisté, bez parazitů a bezpečné k dalšímu užívání. </w:t>
      </w:r>
      <w:r w:rsidR="00714354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Poškrábání, povolené šrouby a jiné drobné vady být mohou.</w:t>
      </w:r>
    </w:p>
    <w:p w14:paraId="77EB2E7B" w14:textId="104E673E" w:rsidR="00714354" w:rsidRPr="007E6B9D" w:rsidRDefault="00714354" w:rsidP="00E633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03030"/>
          <w:sz w:val="27"/>
          <w:szCs w:val="27"/>
          <w:lang w:eastAsia="cs-CZ"/>
        </w:rPr>
      </w:pPr>
      <w:r w:rsidRPr="007E6B9D">
        <w:rPr>
          <w:rFonts w:ascii="Arial" w:eastAsia="Times New Roman" w:hAnsi="Arial" w:cs="Arial"/>
          <w:b/>
          <w:bCs/>
          <w:color w:val="303030"/>
          <w:sz w:val="27"/>
          <w:szCs w:val="27"/>
          <w:lang w:eastAsia="cs-CZ"/>
        </w:rPr>
        <w:t>Nábytková banka si vyhrazuje právo dar odmítnout v případě, že již nelze použít nebo má aktuálně plnou kapacitu skladovacích prostor.</w:t>
      </w:r>
    </w:p>
    <w:p w14:paraId="4F0CE7B6" w14:textId="77777777" w:rsidR="00E633F2" w:rsidRDefault="00E633F2" w:rsidP="00E633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7"/>
          <w:szCs w:val="27"/>
          <w:lang w:eastAsia="cs-CZ"/>
        </w:rPr>
      </w:pPr>
    </w:p>
    <w:p w14:paraId="14C948E0" w14:textId="00A9D1D1" w:rsidR="00714354" w:rsidRDefault="00714354" w:rsidP="00E633F2">
      <w:pPr>
        <w:spacing w:after="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96A0A">
        <w:rPr>
          <w:rFonts w:ascii="Arial" w:hAnsi="Arial" w:cs="Arial"/>
          <w:b/>
          <w:bCs/>
          <w:sz w:val="28"/>
          <w:szCs w:val="28"/>
        </w:rPr>
        <w:t>Informace pro</w:t>
      </w:r>
      <w:r>
        <w:rPr>
          <w:rFonts w:ascii="Arial" w:hAnsi="Arial" w:cs="Arial"/>
          <w:b/>
          <w:bCs/>
          <w:sz w:val="28"/>
          <w:szCs w:val="28"/>
        </w:rPr>
        <w:t xml:space="preserve"> osoby v nouzi</w:t>
      </w:r>
    </w:p>
    <w:p w14:paraId="17677E1D" w14:textId="77777777" w:rsidR="00AC6D63" w:rsidRDefault="00714354" w:rsidP="00E633F2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Materiální pomoc nebude </w:t>
      </w:r>
      <w:r w:rsidR="000D3677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ábytková banka poskytovat přímo osobám v nouzi, ale pouze skrze partnerské odběratelské organizace (sociální služby, sociální odbory</w:t>
      </w:r>
      <w:r w:rsidR="001B2EE8">
        <w:rPr>
          <w:rFonts w:ascii="Arial" w:hAnsi="Arial" w:cs="Arial"/>
          <w:sz w:val="28"/>
          <w:szCs w:val="28"/>
        </w:rPr>
        <w:t xml:space="preserve"> příslušných měst a obcí</w:t>
      </w:r>
      <w:r w:rsidR="008F6C5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atd.). </w:t>
      </w:r>
      <w:r w:rsidR="00AC6D63">
        <w:rPr>
          <w:rFonts w:ascii="Arial" w:hAnsi="Arial" w:cs="Arial"/>
          <w:sz w:val="28"/>
          <w:szCs w:val="28"/>
        </w:rPr>
        <w:t xml:space="preserve">Aktuální seznam partnerských odběratelských organizací naleznete na </w:t>
      </w:r>
      <w:hyperlink r:id="rId7" w:history="1">
        <w:r w:rsidR="00AC6D63" w:rsidRPr="00AF0223">
          <w:rPr>
            <w:rStyle w:val="Hypertextovodkaz"/>
            <w:rFonts w:ascii="Arial" w:hAnsi="Arial" w:cs="Arial"/>
            <w:sz w:val="28"/>
            <w:szCs w:val="28"/>
          </w:rPr>
          <w:t>www.nbpk.cz</w:t>
        </w:r>
      </w:hyperlink>
      <w:r w:rsidR="00AC6D63">
        <w:rPr>
          <w:rFonts w:ascii="Arial" w:hAnsi="Arial" w:cs="Arial"/>
          <w:sz w:val="28"/>
          <w:szCs w:val="28"/>
        </w:rPr>
        <w:t>.</w:t>
      </w:r>
    </w:p>
    <w:p w14:paraId="7A4E2271" w14:textId="1BA870F7" w:rsidR="00714354" w:rsidRDefault="00714354" w:rsidP="00E633F2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Potřebujete-li </w:t>
      </w:r>
      <w:r w:rsidR="000D3677">
        <w:rPr>
          <w:rFonts w:ascii="Arial" w:hAnsi="Arial" w:cs="Arial"/>
          <w:sz w:val="28"/>
          <w:szCs w:val="28"/>
        </w:rPr>
        <w:t>podpořit nábytkem či jiným vybavením</w:t>
      </w:r>
      <w:r>
        <w:rPr>
          <w:rFonts w:ascii="Arial" w:hAnsi="Arial" w:cs="Arial"/>
          <w:sz w:val="28"/>
          <w:szCs w:val="28"/>
        </w:rPr>
        <w:t>, obraťte se na své sociální pracovník</w:t>
      </w:r>
      <w:r w:rsidR="000D3677">
        <w:rPr>
          <w:rFonts w:ascii="Arial" w:hAnsi="Arial" w:cs="Arial"/>
          <w:sz w:val="28"/>
          <w:szCs w:val="28"/>
        </w:rPr>
        <w:t xml:space="preserve">y a společně vyplňte formulář Žádost o poskytnutí materiální pomoci, který naleznete na </w:t>
      </w:r>
      <w:hyperlink r:id="rId8" w:history="1">
        <w:r w:rsidR="000D3677" w:rsidRPr="00E201CA">
          <w:rPr>
            <w:rStyle w:val="Hypertextovodkaz"/>
            <w:rFonts w:ascii="Arial" w:hAnsi="Arial" w:cs="Arial"/>
            <w:sz w:val="28"/>
            <w:szCs w:val="28"/>
          </w:rPr>
          <w:t>www.nbpk.cz</w:t>
        </w:r>
      </w:hyperlink>
      <w:r w:rsidR="000D3677">
        <w:rPr>
          <w:rFonts w:ascii="Arial" w:hAnsi="Arial" w:cs="Arial"/>
          <w:sz w:val="28"/>
          <w:szCs w:val="28"/>
        </w:rPr>
        <w:t xml:space="preserve">. a sociální pracovník ho zašle e-mailem na </w:t>
      </w:r>
      <w:hyperlink r:id="rId9" w:history="1">
        <w:r w:rsidR="000D3677" w:rsidRPr="00E201CA">
          <w:rPr>
            <w:rStyle w:val="Hypertextovodkaz"/>
            <w:rFonts w:ascii="Arial" w:hAnsi="Arial" w:cs="Arial"/>
            <w:sz w:val="28"/>
            <w:szCs w:val="28"/>
          </w:rPr>
          <w:t>info@nbpk.cz</w:t>
        </w:r>
      </w:hyperlink>
      <w:r w:rsidR="00AC6D63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Následně se přímo s </w:t>
      </w:r>
      <w:r w:rsidR="00B62822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ámi spojí pracovník </w:t>
      </w:r>
      <w:r w:rsidR="00AC6D63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ábytkové banky a dojedná předání vybavení.</w:t>
      </w:r>
    </w:p>
    <w:p w14:paraId="57453FD7" w14:textId="396507A6" w:rsidR="00714354" w:rsidRDefault="00714354" w:rsidP="00E633F2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Nábytek a další vybavení domácnosti poskytujeme osobám v nouzi skrze partnerské organizace zdarma.</w:t>
      </w:r>
      <w:r w:rsidR="00E633F2">
        <w:rPr>
          <w:rFonts w:ascii="Arial" w:hAnsi="Arial" w:cs="Arial"/>
          <w:sz w:val="28"/>
          <w:szCs w:val="28"/>
        </w:rPr>
        <w:t xml:space="preserve">                               </w:t>
      </w:r>
    </w:p>
    <w:p w14:paraId="62F135C9" w14:textId="77777777" w:rsidR="003521DA" w:rsidRDefault="003521DA" w:rsidP="00AC6D63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006B26B6" w14:textId="77777777" w:rsidR="001941B1" w:rsidRDefault="00AC6D63" w:rsidP="001941B1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FF897" wp14:editId="03568868">
            <wp:simplePos x="0" y="0"/>
            <wp:positionH relativeFrom="column">
              <wp:posOffset>167640</wp:posOffset>
            </wp:positionH>
            <wp:positionV relativeFrom="paragraph">
              <wp:posOffset>39370</wp:posOffset>
            </wp:positionV>
            <wp:extent cx="992505" cy="992505"/>
            <wp:effectExtent l="38100" t="38100" r="36195" b="36195"/>
            <wp:wrapSquare wrapText="bothSides"/>
            <wp:docPr id="12511003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925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1941B1">
        <w:rPr>
          <w:rFonts w:ascii="Arial" w:hAnsi="Arial" w:cs="Arial"/>
          <w:sz w:val="24"/>
          <w:szCs w:val="24"/>
        </w:rPr>
        <w:t xml:space="preserve">                  </w:t>
      </w:r>
    </w:p>
    <w:p w14:paraId="5BC4459A" w14:textId="67DAB810" w:rsidR="003521DA" w:rsidRPr="001941B1" w:rsidRDefault="001941B1" w:rsidP="001941B1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1941B1">
        <w:rPr>
          <w:rFonts w:ascii="Arial" w:hAnsi="Arial" w:cs="Arial"/>
          <w:sz w:val="24"/>
          <w:szCs w:val="24"/>
        </w:rPr>
        <w:t xml:space="preserve">Mgr. Marcela Kupková, </w:t>
      </w:r>
      <w:proofErr w:type="spellStart"/>
      <w:r w:rsidRPr="001941B1">
        <w:rPr>
          <w:rFonts w:ascii="Arial" w:hAnsi="Arial" w:cs="Arial"/>
          <w:sz w:val="24"/>
          <w:szCs w:val="24"/>
        </w:rPr>
        <w:t>DiS</w:t>
      </w:r>
      <w:proofErr w:type="spellEnd"/>
      <w:r w:rsidRPr="001941B1">
        <w:rPr>
          <w:rFonts w:ascii="Arial" w:hAnsi="Arial" w:cs="Arial"/>
          <w:sz w:val="24"/>
          <w:szCs w:val="24"/>
        </w:rPr>
        <w:t>.</w:t>
      </w:r>
    </w:p>
    <w:p w14:paraId="441970C5" w14:textId="24AF8C78" w:rsidR="001941B1" w:rsidRPr="001941B1" w:rsidRDefault="00B77B01" w:rsidP="001941B1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</w:t>
      </w:r>
      <w:r w:rsidR="00957901">
        <w:rPr>
          <w:rFonts w:ascii="Arial" w:hAnsi="Arial" w:cs="Arial"/>
          <w:sz w:val="24"/>
          <w:szCs w:val="24"/>
        </w:rPr>
        <w:t>editelka</w:t>
      </w:r>
      <w:r w:rsidR="001941B1" w:rsidRPr="001941B1">
        <w:rPr>
          <w:rFonts w:ascii="Arial" w:hAnsi="Arial" w:cs="Arial"/>
          <w:sz w:val="24"/>
          <w:szCs w:val="24"/>
        </w:rPr>
        <w:t xml:space="preserve"> Nábytkové banky Plzeňského kraje, </w:t>
      </w:r>
      <w:proofErr w:type="spellStart"/>
      <w:r w:rsidR="001941B1" w:rsidRPr="001941B1">
        <w:rPr>
          <w:rFonts w:ascii="Arial" w:hAnsi="Arial" w:cs="Arial"/>
          <w:sz w:val="24"/>
          <w:szCs w:val="24"/>
        </w:rPr>
        <w:t>z.s</w:t>
      </w:r>
      <w:proofErr w:type="spellEnd"/>
      <w:r w:rsidR="001941B1" w:rsidRPr="001941B1">
        <w:rPr>
          <w:rFonts w:ascii="Arial" w:hAnsi="Arial" w:cs="Arial"/>
          <w:sz w:val="24"/>
          <w:szCs w:val="24"/>
        </w:rPr>
        <w:t>.</w:t>
      </w:r>
    </w:p>
    <w:p w14:paraId="10753ACA" w14:textId="77777777" w:rsidR="001941B1" w:rsidRDefault="001941B1" w:rsidP="001941B1">
      <w:pPr>
        <w:spacing w:line="288" w:lineRule="auto"/>
        <w:rPr>
          <w:rFonts w:ascii="Arial" w:hAnsi="Arial" w:cs="Arial"/>
          <w:b/>
          <w:bCs/>
        </w:rPr>
      </w:pPr>
    </w:p>
    <w:p w14:paraId="2FFB016B" w14:textId="77777777" w:rsidR="001941B1" w:rsidRDefault="001941B1" w:rsidP="001941B1">
      <w:pPr>
        <w:spacing w:line="288" w:lineRule="auto"/>
        <w:rPr>
          <w:rFonts w:ascii="Arial" w:hAnsi="Arial" w:cs="Arial"/>
          <w:b/>
          <w:bCs/>
        </w:rPr>
      </w:pPr>
    </w:p>
    <w:p w14:paraId="77A44A90" w14:textId="74CD7A1C" w:rsidR="001941B1" w:rsidRPr="00AC6D63" w:rsidRDefault="00AC6D63" w:rsidP="001941B1">
      <w:pPr>
        <w:spacing w:line="288" w:lineRule="auto"/>
        <w:jc w:val="center"/>
        <w:rPr>
          <w:rFonts w:ascii="Arial" w:hAnsi="Arial" w:cs="Arial"/>
          <w:b/>
          <w:bCs/>
        </w:rPr>
      </w:pPr>
      <w:r w:rsidRPr="00AC6D63">
        <w:rPr>
          <w:rFonts w:ascii="Arial" w:hAnsi="Arial" w:cs="Arial"/>
          <w:b/>
          <w:bCs/>
        </w:rPr>
        <w:t xml:space="preserve">Projekt Nábytkové banky Plzeňského kraje, </w:t>
      </w:r>
      <w:proofErr w:type="spellStart"/>
      <w:r w:rsidRPr="00AC6D63">
        <w:rPr>
          <w:rFonts w:ascii="Arial" w:hAnsi="Arial" w:cs="Arial"/>
          <w:b/>
          <w:bCs/>
        </w:rPr>
        <w:t>z.s</w:t>
      </w:r>
      <w:proofErr w:type="spellEnd"/>
      <w:r w:rsidRPr="00AC6D63">
        <w:rPr>
          <w:rFonts w:ascii="Arial" w:hAnsi="Arial" w:cs="Arial"/>
          <w:b/>
          <w:bCs/>
        </w:rPr>
        <w:t>. je spolufinancován Krajským úřadem Plzeňského kraje a Magistrátem města Plzně.</w:t>
      </w:r>
    </w:p>
    <w:p w14:paraId="384C0414" w14:textId="0E1F35A9" w:rsidR="00714354" w:rsidRDefault="00AC6D63" w:rsidP="00896A0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03030"/>
          <w:sz w:val="27"/>
          <w:szCs w:val="27"/>
          <w:lang w:eastAsia="cs-CZ"/>
        </w:rPr>
      </w:pPr>
      <w:r>
        <w:rPr>
          <w:noProof/>
        </w:rPr>
        <w:drawing>
          <wp:inline distT="0" distB="0" distL="0" distR="0" wp14:anchorId="6BA3BCC3" wp14:editId="533AE6BA">
            <wp:extent cx="2008086" cy="803736"/>
            <wp:effectExtent l="0" t="0" r="0" b="0"/>
            <wp:docPr id="19269381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68" cy="81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03030"/>
          <w:sz w:val="27"/>
          <w:szCs w:val="27"/>
          <w:lang w:eastAsia="cs-CZ"/>
        </w:rPr>
        <w:t xml:space="preserve">                               </w:t>
      </w:r>
      <w:r>
        <w:rPr>
          <w:noProof/>
        </w:rPr>
        <w:drawing>
          <wp:inline distT="0" distB="0" distL="0" distR="0" wp14:anchorId="5AA1CEAF" wp14:editId="43273C23">
            <wp:extent cx="2831638" cy="578846"/>
            <wp:effectExtent l="0" t="0" r="0" b="0"/>
            <wp:docPr id="3049901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37" cy="60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4A8F8" w14:textId="77777777" w:rsidR="00714354" w:rsidRPr="00736110" w:rsidRDefault="00714354" w:rsidP="00896A0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03030"/>
          <w:sz w:val="27"/>
          <w:szCs w:val="27"/>
          <w:lang w:eastAsia="cs-CZ"/>
        </w:rPr>
      </w:pPr>
    </w:p>
    <w:p w14:paraId="28E2A9E1" w14:textId="77777777" w:rsidR="00896A0A" w:rsidRDefault="00896A0A" w:rsidP="00896A0A">
      <w:pPr>
        <w:spacing w:line="288" w:lineRule="auto"/>
        <w:rPr>
          <w:rFonts w:ascii="Arial" w:hAnsi="Arial" w:cs="Arial"/>
          <w:b/>
          <w:bCs/>
          <w:sz w:val="28"/>
          <w:szCs w:val="28"/>
        </w:rPr>
      </w:pPr>
    </w:p>
    <w:p w14:paraId="4901F0D4" w14:textId="6485A726" w:rsidR="00896A0A" w:rsidRPr="00896A0A" w:rsidRDefault="00896A0A" w:rsidP="00896A0A">
      <w:pPr>
        <w:spacing w:line="288" w:lineRule="auto"/>
        <w:rPr>
          <w:rFonts w:ascii="Arial" w:hAnsi="Arial" w:cs="Arial"/>
          <w:b/>
          <w:bCs/>
          <w:sz w:val="28"/>
          <w:szCs w:val="28"/>
        </w:rPr>
      </w:pPr>
    </w:p>
    <w:p w14:paraId="06B42BD3" w14:textId="77777777" w:rsidR="00896A0A" w:rsidRPr="00736110" w:rsidRDefault="00896A0A" w:rsidP="00896A0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03030"/>
          <w:sz w:val="28"/>
          <w:szCs w:val="28"/>
          <w:lang w:eastAsia="cs-CZ"/>
        </w:rPr>
      </w:pPr>
    </w:p>
    <w:p w14:paraId="6D18B5E8" w14:textId="77777777" w:rsidR="00896A0A" w:rsidRDefault="00896A0A" w:rsidP="00896A0A">
      <w:pPr>
        <w:spacing w:line="288" w:lineRule="auto"/>
        <w:rPr>
          <w:rFonts w:ascii="Arial" w:hAnsi="Arial" w:cs="Arial"/>
          <w:sz w:val="28"/>
          <w:szCs w:val="28"/>
        </w:rPr>
      </w:pPr>
    </w:p>
    <w:p w14:paraId="342F4A2D" w14:textId="77777777" w:rsidR="00896A0A" w:rsidRPr="00896A0A" w:rsidRDefault="00896A0A" w:rsidP="00896A0A">
      <w:pPr>
        <w:spacing w:line="288" w:lineRule="auto"/>
        <w:rPr>
          <w:rFonts w:ascii="Arial" w:hAnsi="Arial" w:cs="Arial"/>
          <w:sz w:val="28"/>
          <w:szCs w:val="28"/>
        </w:rPr>
      </w:pPr>
    </w:p>
    <w:sectPr w:rsidR="00896A0A" w:rsidRPr="00896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92926"/>
    <w:multiLevelType w:val="multilevel"/>
    <w:tmpl w:val="A57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34D23"/>
    <w:multiLevelType w:val="multilevel"/>
    <w:tmpl w:val="EB5E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321883">
    <w:abstractNumId w:val="1"/>
  </w:num>
  <w:num w:numId="2" w16cid:durableId="113680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087551"/>
    <w:rsid w:val="00086CD0"/>
    <w:rsid w:val="000D3677"/>
    <w:rsid w:val="000F1C0F"/>
    <w:rsid w:val="000F5038"/>
    <w:rsid w:val="00100204"/>
    <w:rsid w:val="001941B1"/>
    <w:rsid w:val="001B2EE8"/>
    <w:rsid w:val="002C13E4"/>
    <w:rsid w:val="002E1BA2"/>
    <w:rsid w:val="00324376"/>
    <w:rsid w:val="003374D3"/>
    <w:rsid w:val="003521DA"/>
    <w:rsid w:val="003B64EA"/>
    <w:rsid w:val="00411D8D"/>
    <w:rsid w:val="0044634E"/>
    <w:rsid w:val="004B269E"/>
    <w:rsid w:val="004B644B"/>
    <w:rsid w:val="004E07E0"/>
    <w:rsid w:val="0052276E"/>
    <w:rsid w:val="0058514E"/>
    <w:rsid w:val="006516AA"/>
    <w:rsid w:val="006D4FBD"/>
    <w:rsid w:val="00714354"/>
    <w:rsid w:val="00733FEC"/>
    <w:rsid w:val="00736E1D"/>
    <w:rsid w:val="007E6B9D"/>
    <w:rsid w:val="007F08DB"/>
    <w:rsid w:val="008073D9"/>
    <w:rsid w:val="00817CB9"/>
    <w:rsid w:val="008504C0"/>
    <w:rsid w:val="00896A0A"/>
    <w:rsid w:val="008A2E26"/>
    <w:rsid w:val="008E3376"/>
    <w:rsid w:val="008F6C54"/>
    <w:rsid w:val="00913992"/>
    <w:rsid w:val="0091661D"/>
    <w:rsid w:val="00957901"/>
    <w:rsid w:val="00990BCD"/>
    <w:rsid w:val="009B2667"/>
    <w:rsid w:val="009B367A"/>
    <w:rsid w:val="00A92349"/>
    <w:rsid w:val="00AC6D63"/>
    <w:rsid w:val="00B25866"/>
    <w:rsid w:val="00B62822"/>
    <w:rsid w:val="00B7354B"/>
    <w:rsid w:val="00B77B01"/>
    <w:rsid w:val="00CA2BD2"/>
    <w:rsid w:val="00D33D16"/>
    <w:rsid w:val="00D60E3B"/>
    <w:rsid w:val="00E520A5"/>
    <w:rsid w:val="00E633F2"/>
    <w:rsid w:val="00E6780A"/>
    <w:rsid w:val="00E91FF3"/>
    <w:rsid w:val="04783FFA"/>
    <w:rsid w:val="056D5F29"/>
    <w:rsid w:val="05854739"/>
    <w:rsid w:val="0B7298B1"/>
    <w:rsid w:val="0BEBE346"/>
    <w:rsid w:val="0FE8B4E7"/>
    <w:rsid w:val="10B86EAF"/>
    <w:rsid w:val="132055A9"/>
    <w:rsid w:val="167288ED"/>
    <w:rsid w:val="16931E07"/>
    <w:rsid w:val="17EEBF4A"/>
    <w:rsid w:val="1BF182F6"/>
    <w:rsid w:val="206C75CB"/>
    <w:rsid w:val="2193C0C6"/>
    <w:rsid w:val="21B012C9"/>
    <w:rsid w:val="2221ECEC"/>
    <w:rsid w:val="2932CA67"/>
    <w:rsid w:val="2A087551"/>
    <w:rsid w:val="2CAA7349"/>
    <w:rsid w:val="2F4EBF2E"/>
    <w:rsid w:val="335319AE"/>
    <w:rsid w:val="34016313"/>
    <w:rsid w:val="364D2E68"/>
    <w:rsid w:val="3902967C"/>
    <w:rsid w:val="3A8594CE"/>
    <w:rsid w:val="3BBAC69C"/>
    <w:rsid w:val="3EB78140"/>
    <w:rsid w:val="42643FAE"/>
    <w:rsid w:val="45CB1941"/>
    <w:rsid w:val="468FAAEE"/>
    <w:rsid w:val="47B206C3"/>
    <w:rsid w:val="4A0C7D39"/>
    <w:rsid w:val="4AB31992"/>
    <w:rsid w:val="4DEABA54"/>
    <w:rsid w:val="504EE3BD"/>
    <w:rsid w:val="51A72E44"/>
    <w:rsid w:val="55664E49"/>
    <w:rsid w:val="57E4DA03"/>
    <w:rsid w:val="5980AA64"/>
    <w:rsid w:val="5A3A02F8"/>
    <w:rsid w:val="5EACE896"/>
    <w:rsid w:val="5EB71509"/>
    <w:rsid w:val="6132472B"/>
    <w:rsid w:val="624DCEDF"/>
    <w:rsid w:val="62D5A638"/>
    <w:rsid w:val="651EB9D0"/>
    <w:rsid w:val="6954A45E"/>
    <w:rsid w:val="6F59DEF7"/>
    <w:rsid w:val="7096CB7A"/>
    <w:rsid w:val="7169788A"/>
    <w:rsid w:val="78963133"/>
    <w:rsid w:val="7A320194"/>
    <w:rsid w:val="7BBB4E42"/>
    <w:rsid w:val="7D9ED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F2DE"/>
  <w15:docId w15:val="{2785FF08-3E06-4ED8-BF3D-06CE362A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6A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A0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9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p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bpk.cz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bpk.cz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nbp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450D-526E-4197-A194-3D3A31AF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Hrdlička</dc:creator>
  <cp:keywords/>
  <dc:description/>
  <cp:lastModifiedBy>barbora.kupkova@outlook.cz</cp:lastModifiedBy>
  <cp:revision>44</cp:revision>
  <cp:lastPrinted>2023-08-14T15:15:00Z</cp:lastPrinted>
  <dcterms:created xsi:type="dcterms:W3CDTF">2023-10-07T12:14:00Z</dcterms:created>
  <dcterms:modified xsi:type="dcterms:W3CDTF">2025-03-17T16:39:00Z</dcterms:modified>
</cp:coreProperties>
</file>